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3"/>
        <w:gridCol w:w="2593"/>
        <w:gridCol w:w="1008"/>
        <w:gridCol w:w="7546"/>
        <w:gridCol w:w="811"/>
        <w:gridCol w:w="1603"/>
      </w:tblGrid>
      <w:tr w14:paraId="0A4C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000" w:type="pct"/>
            <w:gridSpan w:val="6"/>
            <w:tcBorders>
              <w:top w:val="nil"/>
              <w:left w:val="nil"/>
              <w:bottom w:val="single" w:color="000000" w:sz="4" w:space="0"/>
              <w:right w:val="nil"/>
            </w:tcBorders>
            <w:shd w:val="clear"/>
            <w:noWrap/>
            <w:vAlign w:val="center"/>
          </w:tcPr>
          <w:p w14:paraId="7B6EDFF2">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default" w:ascii="等线" w:hAnsi="等线" w:eastAsia="等线" w:cs="等线"/>
                <w:b/>
                <w:bCs/>
                <w:i w:val="0"/>
                <w:iCs w:val="0"/>
                <w:color w:val="000000"/>
                <w:kern w:val="0"/>
                <w:sz w:val="28"/>
                <w:szCs w:val="28"/>
                <w:u w:val="none"/>
                <w:bdr w:val="none" w:color="auto" w:sz="0" w:space="0"/>
                <w:lang w:val="en-US" w:eastAsia="zh-CN" w:bidi="ar"/>
              </w:rPr>
              <w:t>北京工商大学2025年国家社会科学基金年度项目获批名单</w:t>
            </w:r>
          </w:p>
        </w:tc>
      </w:tr>
      <w:tr w14:paraId="6FB4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5A860BD2">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序号</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23715924">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学科</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C277535">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级别</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38A4695">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课题名称</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296C0F86">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申请人</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077FA0AC">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rPr>
            </w:pPr>
            <w:r>
              <w:rPr>
                <w:rFonts w:hint="default" w:ascii="等线" w:hAnsi="等线" w:eastAsia="等线" w:cs="等线"/>
                <w:b/>
                <w:bCs/>
                <w:i w:val="0"/>
                <w:iCs w:val="0"/>
                <w:color w:val="000000"/>
                <w:kern w:val="0"/>
                <w:sz w:val="22"/>
                <w:szCs w:val="22"/>
                <w:u w:val="none"/>
                <w:bdr w:val="none" w:color="auto" w:sz="0" w:space="0"/>
                <w:lang w:val="en-US" w:eastAsia="zh-CN" w:bidi="ar"/>
              </w:rPr>
              <w:t>所在学院</w:t>
            </w:r>
          </w:p>
        </w:tc>
      </w:tr>
      <w:tr w14:paraId="5F00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1EE822F0">
            <w:pPr>
              <w:keepNext w:val="0"/>
              <w:keepLines w:val="0"/>
              <w:widowControl/>
              <w:suppressLineNumbers w:val="0"/>
              <w:jc w:val="center"/>
              <w:textAlignment w:val="center"/>
              <w:rPr>
                <w:rFonts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674F31B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728090C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重点项目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8EB7AB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w:t>
            </w:r>
            <w:r>
              <w:rPr>
                <w:rStyle w:val="5"/>
                <w:bdr w:val="none" w:color="auto" w:sz="0" w:space="0"/>
                <w:lang w:val="en-US" w:eastAsia="zh-CN" w:bidi="ar"/>
              </w:rPr>
              <w:t>双链融合”视角下产业链融通创新驱动关键核心技术突破的机制、路径与治理研究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2D70662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王楠</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17B1E5D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商学院</w:t>
            </w:r>
          </w:p>
        </w:tc>
      </w:tr>
      <w:tr w14:paraId="6B97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1E19AF5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3F52883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马克思主义理论</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7DBB99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485D08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生成式人工</w:t>
            </w:r>
            <w:bookmarkStart w:id="0" w:name="_GoBack"/>
            <w:bookmarkEnd w:id="0"/>
            <w:r>
              <w:rPr>
                <w:rFonts w:hint="eastAsia" w:ascii="国标仿宋" w:hAnsi="国标仿宋" w:eastAsia="国标仿宋" w:cs="国标仿宋"/>
                <w:i w:val="0"/>
                <w:iCs w:val="0"/>
                <w:color w:val="000000"/>
                <w:kern w:val="0"/>
                <w:sz w:val="22"/>
                <w:szCs w:val="22"/>
                <w:u w:val="none"/>
                <w:bdr w:val="none" w:color="auto" w:sz="0" w:space="0"/>
                <w:lang w:val="en-US" w:eastAsia="zh-CN" w:bidi="ar"/>
              </w:rPr>
              <w:t>智能条件下主流意识形态认同提升研究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6ED57F4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葛学彬</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337D305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马克思主义学院</w:t>
            </w:r>
          </w:p>
        </w:tc>
      </w:tr>
      <w:tr w14:paraId="3E33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6EB35AA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2455848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哲学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0C74D61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29C78FF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传统蒙学中道德教化与文化传承的融合机理研究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1016FFE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班高杰</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0078F5A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马克思主义学院</w:t>
            </w:r>
          </w:p>
        </w:tc>
      </w:tr>
      <w:tr w14:paraId="5FBC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4B945CE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2A056A2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理论经济学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C46BB8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2443AA6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隐私计算技术促进消费者数据流通的效应、机制与政策优化研究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3013AB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李靖</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12E5F3F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1AD3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4AA7DCF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28EBFED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00CF201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2998628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制度环境影响零售企业数字化转型的机制、阶段演化与路径研究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6761592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李丽</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70EBFFB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13B0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1D813B6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4CD3814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6D0E092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196F960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多主体动态干预下中小银行风险分层处置机制与政策优化研究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09B352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马若微</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13C2E91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0E3E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7F0C439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7</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0C86C7E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80BC09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62ED31C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商业银行信贷降碳对系统性风险的影响机制 、效应与对策研究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5CE396D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张琳</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503B3C8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26DA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3312A98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180806DB">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统计学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AEA04A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2953E37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SNA2025</w:t>
            </w:r>
            <w:r>
              <w:rPr>
                <w:rStyle w:val="5"/>
                <w:bdr w:val="none" w:color="auto" w:sz="0" w:space="0"/>
                <w:lang w:val="en-US" w:eastAsia="zh-CN" w:bidi="ar"/>
              </w:rPr>
              <w:t>下中国行业层面全要素生产率核算范式与测度研究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6C0B8A6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王春云</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84E033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数学与统计学院</w:t>
            </w:r>
          </w:p>
        </w:tc>
      </w:tr>
      <w:tr w14:paraId="33F4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7705587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9</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4C2A44F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统计学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005B8E6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60F74D2B">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数智时代颠覆性创新的统计测度、形成机制与靶向政策研究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A00054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王康</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06505C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数学与统计学院</w:t>
            </w:r>
          </w:p>
        </w:tc>
      </w:tr>
      <w:tr w14:paraId="799E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4ED2F90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369B5AF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B11014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155CEB3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政府产业基金赋能产业链高质量发展的机制 、效应与路径研究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4938B88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张晨宇</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3ED7B8A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商学院</w:t>
            </w:r>
          </w:p>
        </w:tc>
      </w:tr>
      <w:tr w14:paraId="348A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720AF36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11</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6CC8165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B2B9F6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48C26C2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平台型组织对入驻上市公司的信息效应与资源效应研究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0A2CEBF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申艳艳</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36C4C1C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商学院</w:t>
            </w:r>
          </w:p>
        </w:tc>
      </w:tr>
      <w:tr w14:paraId="34CE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028CEBE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12</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33437C2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4E7BFD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1C700DA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人机混合团队成员构型的断层演化、前因组态及其赋能组织创新的循环跃迁路径研究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A8680FB">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仇勇</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057E46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商学院</w:t>
            </w:r>
          </w:p>
        </w:tc>
      </w:tr>
      <w:tr w14:paraId="5213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64D2B12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13</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1A17BC6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3D3432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159566A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国际贸易新格局下最优粮食安全政策工具体系及优化路径研究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7C78159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牛晓燕</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728AEAC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43E1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5ADD9BE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14</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0E59DFD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97012D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一般项目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76496D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人工智能行业关键矿产资源的供应链风险识别与安全战略研究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7C359D5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刘晓雪</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736DEB3B">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3D4A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543A351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07E63CC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3AF767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0306A74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消费补贴政策对产业链升级的效应评估及优化研究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4BE3FCC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郝娜</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AB9D50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2AF2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7766842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16</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5826582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47F7F7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B6BD2D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关税冲击下中国集成电路产业链的风险传染与对策研究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75B826F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吴优</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69558C4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1A57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12D26D8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17</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70D80A4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应用经济学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3611E7F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7DC51F9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供应链视角下数据要素收益分配规则及保障政策研究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7A6908D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赵艳</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3FA379B1">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720B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1CE0635C">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18</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163FC2E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法学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2661B7C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3F51679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优化经济布局视域下精准结构性减税的法治路径研究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856602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佘倩影</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7CB6FD1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法学院</w:t>
            </w:r>
          </w:p>
        </w:tc>
      </w:tr>
      <w:tr w14:paraId="5B61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60DEBA5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19</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7975649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法学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C7410D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40CDB0E3">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数字经济视域下反不正当竞争法与反垄断法的规范协调与适用衔接研究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258EC00F">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剌森</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2DC09588">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法学院</w:t>
            </w:r>
          </w:p>
        </w:tc>
      </w:tr>
      <w:tr w14:paraId="18E8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42DB9FFD">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20</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4E4B9A8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区域国别学和国际问题研究</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B7E454A">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02EFB956">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中国对接</w:t>
            </w:r>
            <w:r>
              <w:rPr>
                <w:rStyle w:val="5"/>
                <w:bdr w:val="none" w:color="auto" w:sz="0" w:space="0"/>
                <w:lang w:val="en-US" w:eastAsia="zh-CN" w:bidi="ar"/>
              </w:rPr>
              <w:t>DEPA与CPTPP数字规则的制度适配路径研究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09C9C3AE">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徐芬</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420FF3DB">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286D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02" w:type="pct"/>
            <w:tcBorders>
              <w:top w:val="single" w:color="000000" w:sz="4" w:space="0"/>
              <w:left w:val="single" w:color="000000" w:sz="4" w:space="0"/>
              <w:bottom w:val="single" w:color="000000" w:sz="4" w:space="0"/>
              <w:right w:val="single" w:color="000000" w:sz="4" w:space="0"/>
            </w:tcBorders>
            <w:shd w:val="clear"/>
            <w:noWrap/>
            <w:vAlign w:val="center"/>
          </w:tcPr>
          <w:p w14:paraId="5D9F3079">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21</w:t>
            </w:r>
          </w:p>
        </w:tc>
        <w:tc>
          <w:tcPr>
            <w:tcW w:w="497" w:type="pct"/>
            <w:tcBorders>
              <w:top w:val="single" w:color="000000" w:sz="4" w:space="0"/>
              <w:left w:val="single" w:color="000000" w:sz="4" w:space="0"/>
              <w:bottom w:val="single" w:color="000000" w:sz="4" w:space="0"/>
              <w:right w:val="single" w:color="000000" w:sz="4" w:space="0"/>
            </w:tcBorders>
            <w:shd w:val="clear"/>
            <w:noWrap/>
            <w:vAlign w:val="center"/>
          </w:tcPr>
          <w:p w14:paraId="4CC9E6F4">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管理学</w:t>
            </w:r>
          </w:p>
        </w:tc>
        <w:tc>
          <w:tcPr>
            <w:tcW w:w="412" w:type="pct"/>
            <w:tcBorders>
              <w:top w:val="single" w:color="000000" w:sz="4" w:space="0"/>
              <w:left w:val="single" w:color="000000" w:sz="4" w:space="0"/>
              <w:bottom w:val="single" w:color="000000" w:sz="4" w:space="0"/>
              <w:right w:val="single" w:color="000000" w:sz="4" w:space="0"/>
            </w:tcBorders>
            <w:shd w:val="clear"/>
            <w:noWrap/>
            <w:vAlign w:val="center"/>
          </w:tcPr>
          <w:p w14:paraId="59AA5EA7">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青年项目</w:t>
            </w:r>
          </w:p>
        </w:tc>
        <w:tc>
          <w:tcPr>
            <w:tcW w:w="2928" w:type="pct"/>
            <w:tcBorders>
              <w:top w:val="single" w:color="000000" w:sz="4" w:space="0"/>
              <w:left w:val="single" w:color="000000" w:sz="4" w:space="0"/>
              <w:bottom w:val="single" w:color="000000" w:sz="4" w:space="0"/>
              <w:right w:val="single" w:color="000000" w:sz="4" w:space="0"/>
            </w:tcBorders>
            <w:shd w:val="clear"/>
            <w:noWrap/>
            <w:vAlign w:val="center"/>
          </w:tcPr>
          <w:p w14:paraId="2BA02E32">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Style w:val="4"/>
                <w:bdr w:val="none" w:color="auto" w:sz="0" w:space="0"/>
                <w:lang w:val="en-US" w:eastAsia="zh-CN" w:bidi="ar"/>
              </w:rPr>
              <w:t>数智化背景下能源转型</w:t>
            </w:r>
            <w:r>
              <w:rPr>
                <w:rStyle w:val="5"/>
                <w:bdr w:val="none" w:color="auto" w:sz="0" w:space="0"/>
                <w:lang w:val="en-US" w:eastAsia="zh-CN" w:bidi="ar"/>
              </w:rPr>
              <w:t>“不可能三角”困境的破解机制与实现路径研究</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32F56E85">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窦悦</w:t>
            </w:r>
          </w:p>
        </w:tc>
        <w:tc>
          <w:tcPr>
            <w:tcW w:w="689" w:type="pct"/>
            <w:tcBorders>
              <w:top w:val="single" w:color="000000" w:sz="4" w:space="0"/>
              <w:left w:val="single" w:color="000000" w:sz="4" w:space="0"/>
              <w:bottom w:val="single" w:color="000000" w:sz="4" w:space="0"/>
              <w:right w:val="single" w:color="000000" w:sz="4" w:space="0"/>
            </w:tcBorders>
            <w:shd w:val="clear"/>
            <w:noWrap/>
            <w:vAlign w:val="center"/>
          </w:tcPr>
          <w:p w14:paraId="2CFA0D60">
            <w:pPr>
              <w:keepNext w:val="0"/>
              <w:keepLines w:val="0"/>
              <w:widowControl/>
              <w:suppressLineNumbers w:val="0"/>
              <w:jc w:val="center"/>
              <w:textAlignment w:val="center"/>
              <w:rPr>
                <w:rFonts w:hint="eastAsia" w:ascii="国标仿宋" w:hAnsi="国标仿宋" w:eastAsia="国标仿宋" w:cs="国标仿宋"/>
                <w:i w:val="0"/>
                <w:iCs w:val="0"/>
                <w:color w:val="000000"/>
                <w:sz w:val="22"/>
                <w:szCs w:val="22"/>
                <w:u w:val="none"/>
              </w:rPr>
            </w:pPr>
            <w:r>
              <w:rPr>
                <w:rFonts w:hint="eastAsia" w:ascii="国标仿宋" w:hAnsi="国标仿宋" w:eastAsia="国标仿宋" w:cs="国标仿宋"/>
                <w:i w:val="0"/>
                <w:iCs w:val="0"/>
                <w:color w:val="000000"/>
                <w:kern w:val="0"/>
                <w:sz w:val="22"/>
                <w:szCs w:val="22"/>
                <w:u w:val="none"/>
                <w:bdr w:val="none" w:color="auto" w:sz="0" w:space="0"/>
                <w:lang w:val="en-US" w:eastAsia="zh-CN" w:bidi="ar"/>
              </w:rPr>
              <w:t>经济学院</w:t>
            </w:r>
          </w:p>
        </w:tc>
      </w:tr>
      <w:tr w14:paraId="5AD1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00" w:type="pct"/>
            <w:gridSpan w:val="6"/>
            <w:tcBorders>
              <w:top w:val="nil"/>
              <w:left w:val="nil"/>
              <w:bottom w:val="nil"/>
              <w:right w:val="nil"/>
            </w:tcBorders>
            <w:shd w:val="clear"/>
            <w:noWrap/>
            <w:vAlign w:val="center"/>
          </w:tcPr>
          <w:p w14:paraId="78BF56DA">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bdr w:val="none" w:color="auto" w:sz="0" w:space="0"/>
                <w:lang w:val="en-US" w:eastAsia="zh-CN" w:bidi="ar"/>
              </w:rPr>
              <w:t>注：委托项目不公开。</w:t>
            </w:r>
          </w:p>
        </w:tc>
      </w:tr>
    </w:tbl>
    <w:p w14:paraId="3EE250B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等线">
    <w:altName w:val="微软雅黑"/>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B572E"/>
    <w:rsid w:val="FBDB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国标仿宋" w:hAnsi="国标仿宋" w:eastAsia="国标仿宋" w:cs="国标仿宋"/>
      <w:color w:val="000000"/>
      <w:sz w:val="22"/>
      <w:szCs w:val="22"/>
      <w:u w:val="none"/>
    </w:rPr>
  </w:style>
  <w:style w:type="character" w:customStyle="1" w:styleId="5">
    <w:name w:val="font41"/>
    <w:basedOn w:val="3"/>
    <w:uiPriority w:val="0"/>
    <w:rPr>
      <w:rFonts w:hint="eastAsia" w:ascii="国标仿宋" w:hAnsi="国标仿宋" w:eastAsia="国标仿宋" w:cs="国标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2025-10-10T09:58:00Z</dcterms:created>
  <dc:creator>Cher</dc:creator>
  <cp:lastModifiedBy>Cher</cp:lastModifiedBy>
  <dcterms:modified xsi:type="dcterms:W3CDTF">2025-10-10T09:59:42Z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5BEA51E32B8A57705C68E8683D1441AD_41</vt:lpwstr>
  </property>
</Properties>
</file>